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7EB26" w14:textId="77777777" w:rsidR="00BA66E9" w:rsidRPr="000E3314" w:rsidRDefault="005135E2">
      <w:pPr>
        <w:spacing w:after="60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  <w:b/>
          <w:bCs/>
          <w:color w:val="1F4E79"/>
          <w:sz w:val="30"/>
          <w:szCs w:val="30"/>
        </w:rPr>
        <w:t>ANNEXE 7</w:t>
      </w:r>
    </w:p>
    <w:p w14:paraId="3B04F2F6" w14:textId="77777777" w:rsidR="00BA66E9" w:rsidRPr="000E3314" w:rsidRDefault="005135E2">
      <w:pPr>
        <w:spacing w:after="40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  <w:b/>
          <w:bCs/>
          <w:sz w:val="30"/>
          <w:szCs w:val="30"/>
        </w:rPr>
        <w:t>Protocole d’essai et d’évaluation</w:t>
      </w:r>
    </w:p>
    <w:p w14:paraId="688F8349" w14:textId="3631CAB8" w:rsidR="000E3314" w:rsidRPr="000E3314" w:rsidRDefault="000E3314" w:rsidP="000E3314">
      <w:pPr>
        <w:pStyle w:val="TM1"/>
        <w:tabs>
          <w:tab w:val="right" w:leader="dot" w:pos="9016"/>
        </w:tabs>
        <w:rPr>
          <w:rFonts w:asciiTheme="minorHAnsi" w:hAnsiTheme="minorHAnsi" w:cstheme="minorHAnsi"/>
        </w:rPr>
      </w:pPr>
    </w:p>
    <w:p w14:paraId="13EC517C" w14:textId="77777777" w:rsidR="00BA66E9" w:rsidRPr="000E3314" w:rsidRDefault="00BA66E9">
      <w:pPr>
        <w:spacing w:after="200"/>
        <w:rPr>
          <w:rFonts w:asciiTheme="minorHAnsi" w:hAnsiTheme="minorHAnsi" w:cstheme="minorHAnsi"/>
        </w:rPr>
      </w:pPr>
    </w:p>
    <w:p w14:paraId="6BFEAF60" w14:textId="77777777" w:rsidR="00BA66E9" w:rsidRPr="000E3314" w:rsidRDefault="005135E2">
      <w:pPr>
        <w:pStyle w:val="Titre1"/>
        <w:rPr>
          <w:rFonts w:asciiTheme="minorHAnsi" w:hAnsiTheme="minorHAnsi" w:cstheme="minorHAnsi"/>
        </w:rPr>
      </w:pPr>
      <w:bookmarkStart w:id="0" w:name="_Toc232422991"/>
      <w:r w:rsidRPr="000E3314">
        <w:rPr>
          <w:rFonts w:asciiTheme="minorHAnsi" w:hAnsiTheme="minorHAnsi" w:cstheme="minorHAnsi"/>
        </w:rPr>
        <w:t>1. Objet et finalité du protocole</w:t>
      </w:r>
      <w:bookmarkEnd w:id="0"/>
    </w:p>
    <w:p w14:paraId="249AF1F5" w14:textId="77777777" w:rsidR="00BA66E9" w:rsidRPr="000E3314" w:rsidRDefault="005135E2" w:rsidP="000E3314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</w:rPr>
        <w:t>Le présent protocole définit les modalités selon lesquelles le CHU de Toulouse procédera, dans le cadre de la présente consultation, à l’essai et à l’évaluation sur site des dispositifs de dosage des gaz du sang proposés par chaque candidat, ainsi que de la solution middleware associée.</w:t>
      </w:r>
    </w:p>
    <w:p w14:paraId="701F0832" w14:textId="7E4DCD99" w:rsidR="00BA66E9" w:rsidRPr="000E3314" w:rsidRDefault="000E3314">
      <w:pPr>
        <w:pStyle w:val="Titre1"/>
        <w:rPr>
          <w:rFonts w:asciiTheme="minorHAnsi" w:hAnsiTheme="minorHAnsi" w:cstheme="minorHAnsi"/>
        </w:rPr>
      </w:pPr>
      <w:bookmarkStart w:id="1" w:name="_Toc232422993"/>
      <w:r>
        <w:rPr>
          <w:rFonts w:asciiTheme="minorHAnsi" w:hAnsiTheme="minorHAnsi" w:cstheme="minorHAnsi"/>
        </w:rPr>
        <w:t>2</w:t>
      </w:r>
      <w:r w:rsidR="005135E2" w:rsidRPr="000E3314">
        <w:rPr>
          <w:rFonts w:asciiTheme="minorHAnsi" w:hAnsiTheme="minorHAnsi" w:cstheme="minorHAnsi"/>
        </w:rPr>
        <w:t>. Périmètre et besoin à satisfaire</w:t>
      </w:r>
      <w:bookmarkEnd w:id="1"/>
    </w:p>
    <w:p w14:paraId="61E57F97" w14:textId="77777777" w:rsidR="00BA66E9" w:rsidRPr="000E3314" w:rsidRDefault="005135E2">
      <w:pPr>
        <w:spacing w:after="120" w:line="276" w:lineRule="auto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</w:rPr>
        <w:t>L’évaluation couvre deux dimensions indissociables :</w:t>
      </w:r>
    </w:p>
    <w:p w14:paraId="3C5CB812" w14:textId="77777777" w:rsidR="00BA66E9" w:rsidRPr="000E3314" w:rsidRDefault="005135E2">
      <w:pPr>
        <w:pStyle w:val="Paragraphedeliste"/>
        <w:numPr>
          <w:ilvl w:val="0"/>
          <w:numId w:val="2"/>
        </w:numPr>
        <w:spacing w:after="60" w:line="264" w:lineRule="auto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</w:rPr>
        <w:t>l’analyseur de gaz du sang : performances analytiques, ergonomie, fiabilité, sécurité et exploitation au quotidien ;</w:t>
      </w:r>
    </w:p>
    <w:p w14:paraId="4C0E59D0" w14:textId="77777777" w:rsidR="00BA66E9" w:rsidRPr="000E3314" w:rsidRDefault="005135E2">
      <w:pPr>
        <w:pStyle w:val="Paragraphedeliste"/>
        <w:numPr>
          <w:ilvl w:val="0"/>
          <w:numId w:val="2"/>
        </w:numPr>
        <w:spacing w:after="60" w:line="264" w:lineRule="auto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</w:rPr>
        <w:t>la solution middleware : pilotage des analyseurs, gestion des opérateurs et des habilitations, suivi qualité, échanges avec le SIL et capacité à piloter les analyseurs tiers.</w:t>
      </w:r>
    </w:p>
    <w:p w14:paraId="5D986125" w14:textId="5CCEE801" w:rsidR="00BA66E9" w:rsidRPr="000E3314" w:rsidRDefault="000E3314">
      <w:pPr>
        <w:pStyle w:val="Titre1"/>
        <w:rPr>
          <w:rFonts w:asciiTheme="minorHAnsi" w:hAnsiTheme="minorHAnsi" w:cstheme="minorHAnsi"/>
        </w:rPr>
      </w:pPr>
      <w:bookmarkStart w:id="2" w:name="_Toc232422994"/>
      <w:r>
        <w:rPr>
          <w:rFonts w:asciiTheme="minorHAnsi" w:hAnsiTheme="minorHAnsi" w:cstheme="minorHAnsi"/>
        </w:rPr>
        <w:t>3</w:t>
      </w:r>
      <w:r w:rsidR="005135E2" w:rsidRPr="000E3314">
        <w:rPr>
          <w:rFonts w:asciiTheme="minorHAnsi" w:hAnsiTheme="minorHAnsi" w:cstheme="minorHAnsi"/>
        </w:rPr>
        <w:t>. Mise à disposition et obligations du candidat</w:t>
      </w:r>
      <w:bookmarkEnd w:id="2"/>
    </w:p>
    <w:p w14:paraId="39D3A774" w14:textId="77777777" w:rsidR="00BA66E9" w:rsidRPr="000E3314" w:rsidRDefault="005135E2">
      <w:pPr>
        <w:spacing w:after="120" w:line="276" w:lineRule="auto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  <w:b/>
          <w:bCs/>
        </w:rPr>
        <w:t>Pour la durée de l’essai, le candidat met gracieusement à disposition du CHU :</w:t>
      </w:r>
    </w:p>
    <w:p w14:paraId="07CBCCE9" w14:textId="53A14644" w:rsidR="00BA66E9" w:rsidRPr="000E3314" w:rsidRDefault="005135E2">
      <w:pPr>
        <w:pStyle w:val="Paragraphedeliste"/>
        <w:numPr>
          <w:ilvl w:val="0"/>
          <w:numId w:val="2"/>
        </w:numPr>
        <w:spacing w:after="60" w:line="264" w:lineRule="auto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</w:rPr>
        <w:t xml:space="preserve"> les analyseurs de gaz du sang à évaluer, installés et qualifiés par ses soins ;</w:t>
      </w:r>
    </w:p>
    <w:p w14:paraId="3080A9DD" w14:textId="77777777" w:rsidR="00BA66E9" w:rsidRPr="000E3314" w:rsidRDefault="005135E2">
      <w:pPr>
        <w:pStyle w:val="Paragraphedeliste"/>
        <w:numPr>
          <w:ilvl w:val="0"/>
          <w:numId w:val="2"/>
        </w:numPr>
        <w:spacing w:after="60" w:line="264" w:lineRule="auto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</w:rPr>
        <w:t>l’ensemble des consommables, réactifs, cartouches et contrôles de qualité (CIQ) nécessaires au bon fonctionnement de l’analyseur sur toute la période et pour le volume d’échantillons prévu ;</w:t>
      </w:r>
    </w:p>
    <w:p w14:paraId="530144FF" w14:textId="77777777" w:rsidR="00BA66E9" w:rsidRPr="000E3314" w:rsidRDefault="005135E2">
      <w:pPr>
        <w:pStyle w:val="Paragraphedeliste"/>
        <w:numPr>
          <w:ilvl w:val="0"/>
          <w:numId w:val="2"/>
        </w:numPr>
        <w:spacing w:after="60" w:line="264" w:lineRule="auto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  <w:b/>
          <w:bCs/>
        </w:rPr>
        <w:t>une instance de démonstration du middleware</w:t>
      </w:r>
      <w:r w:rsidRPr="000E3314">
        <w:rPr>
          <w:rFonts w:asciiTheme="minorHAnsi" w:hAnsiTheme="minorHAnsi" w:cstheme="minorHAnsi"/>
        </w:rPr>
        <w:t>, configurée de préférence en mode autonome (hors ligne) afin de ne pas interférer avec le système de production, permettant d’illustrer le pilotage de l’analyseur et les fonctions de gestion ;</w:t>
      </w:r>
    </w:p>
    <w:p w14:paraId="72C0CFF0" w14:textId="3AD325CE" w:rsidR="00BA66E9" w:rsidRPr="00904403" w:rsidRDefault="005135E2">
      <w:pPr>
        <w:pStyle w:val="Paragraphedeliste"/>
        <w:numPr>
          <w:ilvl w:val="0"/>
          <w:numId w:val="2"/>
        </w:numPr>
        <w:spacing w:after="60" w:line="264" w:lineRule="auto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</w:rPr>
        <w:t xml:space="preserve">la formation sur site des techniciens référents du laboratoire et d’un référent par service de soins concerné, ainsi que la documentation associée en </w:t>
      </w:r>
      <w:r w:rsidRPr="00904403">
        <w:rPr>
          <w:rFonts w:asciiTheme="minorHAnsi" w:hAnsiTheme="minorHAnsi" w:cstheme="minorHAnsi"/>
        </w:rPr>
        <w:t>français</w:t>
      </w:r>
      <w:r w:rsidR="005D0D3F" w:rsidRPr="00904403">
        <w:rPr>
          <w:rFonts w:asciiTheme="minorHAnsi" w:hAnsiTheme="minorHAnsi" w:cstheme="minorHAnsi"/>
        </w:rPr>
        <w:t>. Pour les sites délocalisés, un calendrier de présence serait apprécié pour présenter l’automate à d’autres services utilisateurs.</w:t>
      </w:r>
    </w:p>
    <w:p w14:paraId="69F61A34" w14:textId="77777777" w:rsidR="00BA66E9" w:rsidRPr="000E3314" w:rsidRDefault="005135E2">
      <w:pPr>
        <w:pStyle w:val="Paragraphedeliste"/>
        <w:numPr>
          <w:ilvl w:val="0"/>
          <w:numId w:val="2"/>
        </w:numPr>
        <w:spacing w:after="60" w:line="264" w:lineRule="auto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</w:rPr>
        <w:t>l’assistance technique et le support nécessaires au bon déroulement des essais (mise en service, dépannage, reprise).</w:t>
      </w:r>
    </w:p>
    <w:p w14:paraId="21582C03" w14:textId="1A96F7CB" w:rsidR="00BA66E9" w:rsidRDefault="005135E2">
      <w:pPr>
        <w:spacing w:after="120" w:line="276" w:lineRule="auto"/>
        <w:rPr>
          <w:rFonts w:asciiTheme="minorHAnsi" w:hAnsiTheme="minorHAnsi" w:cstheme="minorHAnsi"/>
          <w:b/>
          <w:bCs/>
        </w:rPr>
      </w:pPr>
      <w:r w:rsidRPr="000E3314">
        <w:rPr>
          <w:rFonts w:asciiTheme="minorHAnsi" w:hAnsiTheme="minorHAnsi" w:cstheme="minorHAnsi"/>
        </w:rPr>
        <w:t>Le candidat désigne un interlocuteur unique pour la durée de l’essai. L’installation, les déplacements d’analyseur entre sites et le retrait du matériel sont organisés par le candidat</w:t>
      </w:r>
      <w:r w:rsidR="000E3314" w:rsidRPr="000E3314">
        <w:rPr>
          <w:rFonts w:asciiTheme="minorHAnsi" w:hAnsiTheme="minorHAnsi" w:cstheme="minorHAnsi"/>
        </w:rPr>
        <w:t>.</w:t>
      </w:r>
    </w:p>
    <w:p w14:paraId="3273ABEA" w14:textId="77777777" w:rsidR="000E3314" w:rsidRPr="000E3314" w:rsidRDefault="000E3314" w:rsidP="000E3314">
      <w:pPr>
        <w:spacing w:after="120" w:line="276" w:lineRule="auto"/>
        <w:jc w:val="both"/>
        <w:rPr>
          <w:rFonts w:asciiTheme="minorHAnsi" w:hAnsiTheme="minorHAnsi" w:cstheme="minorHAnsi"/>
        </w:rPr>
      </w:pPr>
    </w:p>
    <w:p w14:paraId="4E9D30E0" w14:textId="160DD31B" w:rsidR="00BA66E9" w:rsidRPr="000E3314" w:rsidRDefault="000E3314">
      <w:pPr>
        <w:pStyle w:val="Titre1"/>
        <w:rPr>
          <w:rFonts w:asciiTheme="minorHAnsi" w:hAnsiTheme="minorHAnsi" w:cstheme="minorHAnsi"/>
        </w:rPr>
      </w:pPr>
      <w:bookmarkStart w:id="3" w:name="_Toc232422995"/>
      <w:r>
        <w:rPr>
          <w:rFonts w:asciiTheme="minorHAnsi" w:hAnsiTheme="minorHAnsi" w:cstheme="minorHAnsi"/>
        </w:rPr>
        <w:t>4</w:t>
      </w:r>
      <w:r w:rsidR="005135E2" w:rsidRPr="000E3314">
        <w:rPr>
          <w:rFonts w:asciiTheme="minorHAnsi" w:hAnsiTheme="minorHAnsi" w:cstheme="minorHAnsi"/>
        </w:rPr>
        <w:t>. Organisation des essais sur site</w:t>
      </w:r>
      <w:bookmarkEnd w:id="3"/>
    </w:p>
    <w:p w14:paraId="7F68EDA5" w14:textId="62E6C3AD" w:rsidR="00BA66E9" w:rsidRPr="000E3314" w:rsidRDefault="005135E2">
      <w:pPr>
        <w:spacing w:after="120" w:line="276" w:lineRule="auto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</w:rPr>
        <w:t>Les essais se déroulent en deux phases successives, représentatives des deux contextes d’usage du parc (laboratoire accrédité et services de soins). La période prévisionnelle d’évaluation est l’été</w:t>
      </w:r>
      <w:r w:rsidR="000E3314">
        <w:rPr>
          <w:rFonts w:asciiTheme="minorHAnsi" w:hAnsiTheme="minorHAnsi" w:cstheme="minorHAnsi"/>
        </w:rPr>
        <w:t>-automne</w:t>
      </w:r>
      <w:r w:rsidRPr="000E3314">
        <w:rPr>
          <w:rFonts w:asciiTheme="minorHAnsi" w:hAnsiTheme="minorHAnsi" w:cstheme="minorHAnsi"/>
        </w:rPr>
        <w:t xml:space="preserve"> 2026, en amont de la notification du marché.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0"/>
        <w:gridCol w:w="2000"/>
        <w:gridCol w:w="1500"/>
        <w:gridCol w:w="1300"/>
        <w:gridCol w:w="2326"/>
      </w:tblGrid>
      <w:tr w:rsidR="00BA66E9" w:rsidRPr="000E3314" w14:paraId="4FFD16D1" w14:textId="77777777">
        <w:trPr>
          <w:tblHeader/>
        </w:trPr>
        <w:tc>
          <w:tcPr>
            <w:tcW w:w="19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771BED6" w14:textId="77777777" w:rsidR="00BA66E9" w:rsidRPr="000E3314" w:rsidRDefault="005135E2">
            <w:pPr>
              <w:rPr>
                <w:rFonts w:asciiTheme="minorHAnsi" w:hAnsiTheme="minorHAnsi" w:cstheme="minorHAnsi"/>
              </w:rPr>
            </w:pPr>
            <w:r w:rsidRPr="000E3314">
              <w:rPr>
                <w:rFonts w:asciiTheme="minorHAnsi" w:hAnsiTheme="minorHAnsi" w:cstheme="minorHAnsi"/>
                <w:b/>
                <w:bCs/>
                <w:color w:val="FFFFFF"/>
                <w:sz w:val="19"/>
                <w:szCs w:val="19"/>
              </w:rPr>
              <w:t>Phase</w:t>
            </w:r>
          </w:p>
        </w:tc>
        <w:tc>
          <w:tcPr>
            <w:tcW w:w="2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B30729" w14:textId="77777777" w:rsidR="00BA66E9" w:rsidRPr="000E3314" w:rsidRDefault="005135E2">
            <w:pPr>
              <w:rPr>
                <w:rFonts w:asciiTheme="minorHAnsi" w:hAnsiTheme="minorHAnsi" w:cstheme="minorHAnsi"/>
              </w:rPr>
            </w:pPr>
            <w:r w:rsidRPr="000E3314">
              <w:rPr>
                <w:rFonts w:asciiTheme="minorHAnsi" w:hAnsiTheme="minorHAnsi" w:cstheme="minorHAnsi"/>
                <w:b/>
                <w:bCs/>
                <w:color w:val="FFFFFF"/>
                <w:sz w:val="19"/>
                <w:szCs w:val="19"/>
              </w:rPr>
              <w:t>Site / service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C268DA2" w14:textId="77777777" w:rsidR="00BA66E9" w:rsidRPr="000E3314" w:rsidRDefault="005135E2">
            <w:pPr>
              <w:rPr>
                <w:rFonts w:asciiTheme="minorHAnsi" w:hAnsiTheme="minorHAnsi" w:cstheme="minorHAnsi"/>
              </w:rPr>
            </w:pPr>
            <w:r w:rsidRPr="000E3314">
              <w:rPr>
                <w:rFonts w:asciiTheme="minorHAnsi" w:hAnsiTheme="minorHAnsi" w:cstheme="minorHAnsi"/>
                <w:b/>
                <w:bCs/>
                <w:color w:val="FFFFFF"/>
                <w:sz w:val="19"/>
                <w:szCs w:val="19"/>
              </w:rPr>
              <w:t>Type</w:t>
            </w:r>
          </w:p>
        </w:tc>
        <w:tc>
          <w:tcPr>
            <w:tcW w:w="13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E143C3E" w14:textId="77777777" w:rsidR="00BA66E9" w:rsidRPr="000E3314" w:rsidRDefault="005135E2">
            <w:pPr>
              <w:rPr>
                <w:rFonts w:asciiTheme="minorHAnsi" w:hAnsiTheme="minorHAnsi" w:cstheme="minorHAnsi"/>
              </w:rPr>
            </w:pPr>
            <w:r w:rsidRPr="000E3314">
              <w:rPr>
                <w:rFonts w:asciiTheme="minorHAnsi" w:hAnsiTheme="minorHAnsi" w:cstheme="minorHAnsi"/>
                <w:b/>
                <w:bCs/>
                <w:color w:val="FFFFFF"/>
                <w:sz w:val="19"/>
                <w:szCs w:val="19"/>
              </w:rPr>
              <w:t>Durée</w:t>
            </w:r>
          </w:p>
        </w:tc>
        <w:tc>
          <w:tcPr>
            <w:tcW w:w="23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957FFCC" w14:textId="77777777" w:rsidR="00BA66E9" w:rsidRPr="000E3314" w:rsidRDefault="005135E2">
            <w:pPr>
              <w:rPr>
                <w:rFonts w:asciiTheme="minorHAnsi" w:hAnsiTheme="minorHAnsi" w:cstheme="minorHAnsi"/>
              </w:rPr>
            </w:pPr>
            <w:r w:rsidRPr="000E3314">
              <w:rPr>
                <w:rFonts w:asciiTheme="minorHAnsi" w:hAnsiTheme="minorHAnsi" w:cstheme="minorHAnsi"/>
                <w:b/>
                <w:bCs/>
                <w:color w:val="FFFFFF"/>
                <w:sz w:val="19"/>
                <w:szCs w:val="19"/>
              </w:rPr>
              <w:t>Opérations principales</w:t>
            </w:r>
          </w:p>
        </w:tc>
      </w:tr>
      <w:tr w:rsidR="00BA66E9" w:rsidRPr="000E3314" w14:paraId="7B70BE31" w14:textId="77777777">
        <w:tc>
          <w:tcPr>
            <w:tcW w:w="19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B61245F" w14:textId="7BFC9D8A" w:rsidR="00BA66E9" w:rsidRPr="000E3314" w:rsidRDefault="005135E2">
            <w:pPr>
              <w:rPr>
                <w:rFonts w:asciiTheme="minorHAnsi" w:hAnsiTheme="minorHAnsi" w:cstheme="minorHAnsi"/>
              </w:rPr>
            </w:pPr>
            <w:r w:rsidRPr="000E3314">
              <w:rPr>
                <w:rFonts w:asciiTheme="minorHAnsi" w:hAnsiTheme="minorHAnsi" w:cstheme="minorHAnsi"/>
                <w:sz w:val="19"/>
                <w:szCs w:val="19"/>
              </w:rPr>
              <w:t xml:space="preserve">Phase 1 </w:t>
            </w:r>
            <w:r w:rsidR="005D0D3F">
              <w:rPr>
                <w:rFonts w:asciiTheme="minorHAnsi" w:hAnsiTheme="minorHAnsi" w:cstheme="minorHAnsi"/>
                <w:sz w:val="19"/>
                <w:szCs w:val="19"/>
              </w:rPr>
              <w:t xml:space="preserve">a </w:t>
            </w:r>
            <w:r w:rsidRPr="000E3314">
              <w:rPr>
                <w:rFonts w:asciiTheme="minorHAnsi" w:hAnsiTheme="minorHAnsi" w:cstheme="minorHAnsi"/>
                <w:sz w:val="19"/>
                <w:szCs w:val="19"/>
              </w:rPr>
              <w:t>– Laboratoire</w:t>
            </w:r>
          </w:p>
        </w:tc>
        <w:tc>
          <w:tcPr>
            <w:tcW w:w="2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8BD1F30" w14:textId="77777777" w:rsidR="00BA66E9" w:rsidRPr="000E3314" w:rsidRDefault="005135E2">
            <w:pPr>
              <w:rPr>
                <w:rFonts w:asciiTheme="minorHAnsi" w:hAnsiTheme="minorHAnsi" w:cstheme="minorHAnsi"/>
              </w:rPr>
            </w:pPr>
            <w:r w:rsidRPr="000E3314">
              <w:rPr>
                <w:rFonts w:asciiTheme="minorHAnsi" w:hAnsiTheme="minorHAnsi" w:cstheme="minorHAnsi"/>
                <w:sz w:val="19"/>
                <w:szCs w:val="19"/>
              </w:rPr>
              <w:t>PTA Rangueil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A6243A3" w14:textId="77777777" w:rsidR="00BA66E9" w:rsidRPr="000E3314" w:rsidRDefault="005135E2">
            <w:pPr>
              <w:rPr>
                <w:rFonts w:asciiTheme="minorHAnsi" w:hAnsiTheme="minorHAnsi" w:cstheme="minorHAnsi"/>
              </w:rPr>
            </w:pPr>
            <w:r w:rsidRPr="000E3314">
              <w:rPr>
                <w:rFonts w:asciiTheme="minorHAnsi" w:hAnsiTheme="minorHAnsi" w:cstheme="minorHAnsi"/>
                <w:sz w:val="19"/>
                <w:szCs w:val="19"/>
              </w:rPr>
              <w:t>Laboratoire (PTA)</w:t>
            </w:r>
          </w:p>
        </w:tc>
        <w:tc>
          <w:tcPr>
            <w:tcW w:w="13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6C99DD5" w14:textId="428E34CC" w:rsidR="00BA66E9" w:rsidRPr="000E3314" w:rsidRDefault="005135E2">
            <w:pPr>
              <w:rPr>
                <w:rFonts w:asciiTheme="minorHAnsi" w:hAnsiTheme="minorHAnsi" w:cstheme="minorHAnsi"/>
              </w:rPr>
            </w:pPr>
            <w:r w:rsidRPr="000E3314">
              <w:rPr>
                <w:rFonts w:asciiTheme="minorHAnsi" w:hAnsiTheme="minorHAnsi" w:cstheme="minorHAnsi"/>
                <w:sz w:val="19"/>
                <w:szCs w:val="19"/>
              </w:rPr>
              <w:t xml:space="preserve">10 jours </w:t>
            </w:r>
            <w:r w:rsidR="0079070E">
              <w:rPr>
                <w:rFonts w:asciiTheme="minorHAnsi" w:hAnsiTheme="minorHAnsi" w:cstheme="minorHAnsi"/>
                <w:sz w:val="19"/>
                <w:szCs w:val="19"/>
              </w:rPr>
              <w:t xml:space="preserve">calendaires </w:t>
            </w:r>
          </w:p>
        </w:tc>
        <w:tc>
          <w:tcPr>
            <w:tcW w:w="23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FB8B125" w14:textId="77777777" w:rsidR="00BA66E9" w:rsidRPr="000E3314" w:rsidRDefault="005135E2">
            <w:pPr>
              <w:rPr>
                <w:rFonts w:asciiTheme="minorHAnsi" w:hAnsiTheme="minorHAnsi" w:cstheme="minorHAnsi"/>
              </w:rPr>
            </w:pPr>
            <w:r w:rsidRPr="000E3314">
              <w:rPr>
                <w:rFonts w:asciiTheme="minorHAnsi" w:hAnsiTheme="minorHAnsi" w:cstheme="minorHAnsi"/>
                <w:sz w:val="19"/>
                <w:szCs w:val="19"/>
              </w:rPr>
              <w:t xml:space="preserve">Vérification des performances, </w:t>
            </w:r>
            <w:r w:rsidRPr="000E3314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comparaison de méthode, pilotage middleware, exploitation quotidienne par les techniciens.</w:t>
            </w:r>
          </w:p>
        </w:tc>
      </w:tr>
      <w:tr w:rsidR="005D0D3F" w:rsidRPr="000E3314" w14:paraId="03D715F2" w14:textId="77777777" w:rsidTr="00904403">
        <w:tc>
          <w:tcPr>
            <w:tcW w:w="19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auto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60CD790" w14:textId="3A3502E6" w:rsidR="005D0D3F" w:rsidRPr="00904403" w:rsidRDefault="005D0D3F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904403">
              <w:rPr>
                <w:rFonts w:asciiTheme="minorHAnsi" w:hAnsiTheme="minorHAnsi" w:cstheme="minorHAnsi"/>
                <w:sz w:val="19"/>
                <w:szCs w:val="19"/>
              </w:rPr>
              <w:lastRenderedPageBreak/>
              <w:t>1b</w:t>
            </w:r>
          </w:p>
        </w:tc>
        <w:tc>
          <w:tcPr>
            <w:tcW w:w="2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auto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5B69B83" w14:textId="1F17A2C3" w:rsidR="005D0D3F" w:rsidRPr="00904403" w:rsidRDefault="005D0D3F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904403">
              <w:rPr>
                <w:rFonts w:asciiTheme="minorHAnsi" w:hAnsiTheme="minorHAnsi" w:cstheme="minorHAnsi"/>
                <w:sz w:val="19"/>
                <w:szCs w:val="19"/>
              </w:rPr>
              <w:t>Lavaur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auto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978AF28" w14:textId="16079223" w:rsidR="005D0D3F" w:rsidRPr="00904403" w:rsidRDefault="005D0D3F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904403">
              <w:rPr>
                <w:rFonts w:asciiTheme="minorHAnsi" w:hAnsiTheme="minorHAnsi" w:cstheme="minorHAnsi"/>
                <w:sz w:val="19"/>
                <w:szCs w:val="19"/>
              </w:rPr>
              <w:t>Laboratoire (PTA)</w:t>
            </w:r>
          </w:p>
        </w:tc>
        <w:tc>
          <w:tcPr>
            <w:tcW w:w="13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5E45EB5" w14:textId="319CCEDC" w:rsidR="005D0D3F" w:rsidRPr="005D0D3F" w:rsidRDefault="005D0D3F">
            <w:pPr>
              <w:rPr>
                <w:rFonts w:asciiTheme="minorHAnsi" w:hAnsiTheme="minorHAnsi" w:cstheme="minorHAnsi"/>
                <w:sz w:val="19"/>
                <w:szCs w:val="19"/>
                <w:highlight w:val="yellow"/>
              </w:rPr>
            </w:pPr>
            <w:r w:rsidRPr="0079070E">
              <w:rPr>
                <w:rFonts w:asciiTheme="minorHAnsi" w:hAnsiTheme="minorHAnsi" w:cstheme="minorHAnsi"/>
                <w:sz w:val="19"/>
                <w:szCs w:val="19"/>
              </w:rPr>
              <w:t xml:space="preserve">1 jour </w:t>
            </w:r>
            <w:r w:rsidR="0079070E" w:rsidRPr="0079070E">
              <w:rPr>
                <w:rFonts w:asciiTheme="minorHAnsi" w:hAnsiTheme="minorHAnsi" w:cstheme="minorHAnsi"/>
                <w:sz w:val="19"/>
                <w:szCs w:val="19"/>
              </w:rPr>
              <w:t>en semaine</w:t>
            </w:r>
          </w:p>
        </w:tc>
        <w:tc>
          <w:tcPr>
            <w:tcW w:w="23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512230A" w14:textId="03AF94B4" w:rsidR="005D0D3F" w:rsidRPr="00904403" w:rsidRDefault="005D0D3F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904403">
              <w:rPr>
                <w:rFonts w:asciiTheme="minorHAnsi" w:hAnsiTheme="minorHAnsi" w:cstheme="minorHAnsi"/>
                <w:sz w:val="19"/>
                <w:szCs w:val="19"/>
              </w:rPr>
              <w:t>Démonstration et utilisation par les opérateurs présents</w:t>
            </w:r>
          </w:p>
        </w:tc>
      </w:tr>
      <w:tr w:rsidR="005D0D3F" w:rsidRPr="000E3314" w14:paraId="435E145B" w14:textId="77777777" w:rsidTr="00904403">
        <w:tc>
          <w:tcPr>
            <w:tcW w:w="19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auto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61DA7FA" w14:textId="2514E90B" w:rsidR="005D0D3F" w:rsidRPr="00904403" w:rsidRDefault="005D0D3F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904403">
              <w:rPr>
                <w:rFonts w:asciiTheme="minorHAnsi" w:hAnsiTheme="minorHAnsi" w:cstheme="minorHAnsi"/>
                <w:sz w:val="19"/>
                <w:szCs w:val="19"/>
              </w:rPr>
              <w:t>1c</w:t>
            </w:r>
          </w:p>
        </w:tc>
        <w:tc>
          <w:tcPr>
            <w:tcW w:w="2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auto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AC217FB" w14:textId="08E83915" w:rsidR="005D0D3F" w:rsidRPr="00904403" w:rsidRDefault="005D0D3F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904403">
              <w:rPr>
                <w:rFonts w:asciiTheme="minorHAnsi" w:hAnsiTheme="minorHAnsi" w:cstheme="minorHAnsi"/>
                <w:sz w:val="19"/>
                <w:szCs w:val="19"/>
              </w:rPr>
              <w:t>Purpan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auto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31EE342" w14:textId="3DB08A50" w:rsidR="005D0D3F" w:rsidRPr="00904403" w:rsidRDefault="005D0D3F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904403">
              <w:rPr>
                <w:rFonts w:asciiTheme="minorHAnsi" w:hAnsiTheme="minorHAnsi" w:cstheme="minorHAnsi"/>
                <w:sz w:val="19"/>
                <w:szCs w:val="19"/>
              </w:rPr>
              <w:t>Laboratoire (PTA)</w:t>
            </w:r>
          </w:p>
        </w:tc>
        <w:tc>
          <w:tcPr>
            <w:tcW w:w="13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301241B" w14:textId="5BB85382" w:rsidR="005D0D3F" w:rsidRPr="005D0D3F" w:rsidRDefault="005D0D3F">
            <w:pPr>
              <w:rPr>
                <w:rFonts w:asciiTheme="minorHAnsi" w:hAnsiTheme="minorHAnsi" w:cstheme="minorHAnsi"/>
                <w:sz w:val="19"/>
                <w:szCs w:val="19"/>
                <w:highlight w:val="yellow"/>
              </w:rPr>
            </w:pPr>
            <w:r w:rsidRPr="0079070E">
              <w:rPr>
                <w:rFonts w:asciiTheme="minorHAnsi" w:hAnsiTheme="minorHAnsi" w:cstheme="minorHAnsi"/>
                <w:sz w:val="19"/>
                <w:szCs w:val="19"/>
              </w:rPr>
              <w:t xml:space="preserve">3 jours </w:t>
            </w:r>
            <w:r w:rsidR="0079070E" w:rsidRPr="0079070E">
              <w:rPr>
                <w:rFonts w:asciiTheme="minorHAnsi" w:hAnsiTheme="minorHAnsi" w:cstheme="minorHAnsi"/>
                <w:sz w:val="19"/>
                <w:szCs w:val="19"/>
              </w:rPr>
              <w:t>en semaine</w:t>
            </w:r>
          </w:p>
        </w:tc>
        <w:tc>
          <w:tcPr>
            <w:tcW w:w="23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DD30471" w14:textId="7B61DB2A" w:rsidR="005D0D3F" w:rsidRPr="00904403" w:rsidRDefault="005D0D3F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904403">
              <w:rPr>
                <w:rFonts w:asciiTheme="minorHAnsi" w:hAnsiTheme="minorHAnsi" w:cstheme="minorHAnsi"/>
                <w:sz w:val="19"/>
                <w:szCs w:val="19"/>
              </w:rPr>
              <w:t>Démonstration et utilisation par les opérateurs présents</w:t>
            </w:r>
          </w:p>
        </w:tc>
      </w:tr>
      <w:tr w:rsidR="00BA66E9" w:rsidRPr="000E3314" w14:paraId="429B215B" w14:textId="77777777">
        <w:tc>
          <w:tcPr>
            <w:tcW w:w="19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5FB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F3D5144" w14:textId="77777777" w:rsidR="00BA66E9" w:rsidRPr="000E3314" w:rsidRDefault="005135E2">
            <w:pPr>
              <w:rPr>
                <w:rFonts w:asciiTheme="minorHAnsi" w:hAnsiTheme="minorHAnsi" w:cstheme="minorHAnsi"/>
              </w:rPr>
            </w:pPr>
            <w:r w:rsidRPr="000E3314">
              <w:rPr>
                <w:rFonts w:asciiTheme="minorHAnsi" w:hAnsiTheme="minorHAnsi" w:cstheme="minorHAnsi"/>
                <w:sz w:val="19"/>
                <w:szCs w:val="19"/>
              </w:rPr>
              <w:t>Phase 2 – Services de soins</w:t>
            </w:r>
          </w:p>
        </w:tc>
        <w:tc>
          <w:tcPr>
            <w:tcW w:w="2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5FB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E637418" w14:textId="4AC358C7" w:rsidR="00BA66E9" w:rsidRPr="000E3314" w:rsidRDefault="005135E2">
            <w:pPr>
              <w:rPr>
                <w:rFonts w:asciiTheme="minorHAnsi" w:hAnsiTheme="minorHAnsi" w:cstheme="minorHAnsi"/>
              </w:rPr>
            </w:pPr>
            <w:r w:rsidRPr="00904403">
              <w:rPr>
                <w:rFonts w:asciiTheme="minorHAnsi" w:hAnsiTheme="minorHAnsi" w:cstheme="minorHAnsi"/>
                <w:sz w:val="19"/>
                <w:szCs w:val="19"/>
              </w:rPr>
              <w:t xml:space="preserve">Hôpital </w:t>
            </w:r>
            <w:r w:rsidR="005D0D3F" w:rsidRPr="00904403">
              <w:rPr>
                <w:rFonts w:asciiTheme="minorHAnsi" w:hAnsiTheme="minorHAnsi" w:cstheme="minorHAnsi"/>
                <w:sz w:val="19"/>
                <w:szCs w:val="19"/>
              </w:rPr>
              <w:t>Paule de Viguier</w:t>
            </w:r>
            <w:r w:rsidRPr="000E3314">
              <w:rPr>
                <w:rFonts w:asciiTheme="minorHAnsi" w:hAnsiTheme="minorHAnsi" w:cstheme="minorHAnsi"/>
                <w:sz w:val="19"/>
                <w:szCs w:val="19"/>
              </w:rPr>
              <w:t xml:space="preserve"> (Purpan)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5FB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69A71E" w14:textId="77777777" w:rsidR="00BA66E9" w:rsidRPr="000E3314" w:rsidRDefault="005135E2">
            <w:pPr>
              <w:rPr>
                <w:rFonts w:asciiTheme="minorHAnsi" w:hAnsiTheme="minorHAnsi" w:cstheme="minorHAnsi"/>
              </w:rPr>
            </w:pPr>
            <w:r w:rsidRPr="000E3314">
              <w:rPr>
                <w:rFonts w:asciiTheme="minorHAnsi" w:hAnsiTheme="minorHAnsi" w:cstheme="minorHAnsi"/>
                <w:sz w:val="19"/>
                <w:szCs w:val="19"/>
              </w:rPr>
              <w:t>EBMD – soins</w:t>
            </w:r>
          </w:p>
        </w:tc>
        <w:tc>
          <w:tcPr>
            <w:tcW w:w="13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5FB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83D0109" w14:textId="22B00E1D" w:rsidR="00BA66E9" w:rsidRPr="000E3314" w:rsidRDefault="0079070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5 jours du lundi au vendredi</w:t>
            </w:r>
          </w:p>
        </w:tc>
        <w:tc>
          <w:tcPr>
            <w:tcW w:w="23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2F5FB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75DBFFD" w14:textId="77777777" w:rsidR="00BA66E9" w:rsidRPr="000E3314" w:rsidRDefault="005135E2">
            <w:pPr>
              <w:rPr>
                <w:rFonts w:asciiTheme="minorHAnsi" w:hAnsiTheme="minorHAnsi" w:cstheme="minorHAnsi"/>
              </w:rPr>
            </w:pPr>
            <w:r w:rsidRPr="000E3314">
              <w:rPr>
                <w:rFonts w:asciiTheme="minorHAnsi" w:hAnsiTheme="minorHAnsi" w:cstheme="minorHAnsi"/>
                <w:sz w:val="19"/>
                <w:szCs w:val="19"/>
              </w:rPr>
              <w:t>Prise en main par les soignants / logisticiens, passage d’échantillons, maintenances utilisateurs.</w:t>
            </w:r>
          </w:p>
        </w:tc>
      </w:tr>
      <w:tr w:rsidR="00BA66E9" w:rsidRPr="000E3314" w14:paraId="405FC5E0" w14:textId="77777777">
        <w:tc>
          <w:tcPr>
            <w:tcW w:w="19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45B6EBB" w14:textId="77777777" w:rsidR="00BA66E9" w:rsidRPr="000E3314" w:rsidRDefault="005135E2">
            <w:pPr>
              <w:rPr>
                <w:rFonts w:asciiTheme="minorHAnsi" w:hAnsiTheme="minorHAnsi" w:cstheme="minorHAnsi"/>
              </w:rPr>
            </w:pPr>
            <w:r w:rsidRPr="000E3314">
              <w:rPr>
                <w:rFonts w:asciiTheme="minorHAnsi" w:hAnsiTheme="minorHAnsi" w:cstheme="minorHAnsi"/>
                <w:sz w:val="19"/>
                <w:szCs w:val="19"/>
              </w:rPr>
              <w:t>Phase 2 – Services de soins</w:t>
            </w:r>
          </w:p>
        </w:tc>
        <w:tc>
          <w:tcPr>
            <w:tcW w:w="20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2B3F17F" w14:textId="77777777" w:rsidR="00BA66E9" w:rsidRPr="000E3314" w:rsidRDefault="005135E2">
            <w:pPr>
              <w:rPr>
                <w:rFonts w:asciiTheme="minorHAnsi" w:hAnsiTheme="minorHAnsi" w:cstheme="minorHAnsi"/>
              </w:rPr>
            </w:pPr>
            <w:r w:rsidRPr="000E3314">
              <w:rPr>
                <w:rFonts w:asciiTheme="minorHAnsi" w:hAnsiTheme="minorHAnsi" w:cstheme="minorHAnsi"/>
                <w:sz w:val="19"/>
                <w:szCs w:val="19"/>
              </w:rPr>
              <w:t>URM (Purpan)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C446EC0" w14:textId="77777777" w:rsidR="00BA66E9" w:rsidRPr="000E3314" w:rsidRDefault="005135E2">
            <w:pPr>
              <w:rPr>
                <w:rFonts w:asciiTheme="minorHAnsi" w:hAnsiTheme="minorHAnsi" w:cstheme="minorHAnsi"/>
              </w:rPr>
            </w:pPr>
            <w:r w:rsidRPr="000E3314">
              <w:rPr>
                <w:rFonts w:asciiTheme="minorHAnsi" w:hAnsiTheme="minorHAnsi" w:cstheme="minorHAnsi"/>
                <w:sz w:val="19"/>
                <w:szCs w:val="19"/>
              </w:rPr>
              <w:t>EBMD – soins</w:t>
            </w:r>
          </w:p>
        </w:tc>
        <w:tc>
          <w:tcPr>
            <w:tcW w:w="13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8599EE1" w14:textId="367AB710" w:rsidR="00BA66E9" w:rsidRPr="000E3314" w:rsidRDefault="0079070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5 jours du lundi au vendredi</w:t>
            </w:r>
          </w:p>
        </w:tc>
        <w:tc>
          <w:tcPr>
            <w:tcW w:w="232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131037E" w14:textId="77777777" w:rsidR="00BA66E9" w:rsidRPr="000E3314" w:rsidRDefault="005135E2">
            <w:pPr>
              <w:rPr>
                <w:rFonts w:asciiTheme="minorHAnsi" w:hAnsiTheme="minorHAnsi" w:cstheme="minorHAnsi"/>
              </w:rPr>
            </w:pPr>
            <w:r w:rsidRPr="000E3314">
              <w:rPr>
                <w:rFonts w:asciiTheme="minorHAnsi" w:hAnsiTheme="minorHAnsi" w:cstheme="minorHAnsi"/>
                <w:sz w:val="19"/>
                <w:szCs w:val="19"/>
              </w:rPr>
              <w:t>Prise en main par les soignants, passage d’échantillons en conditions réelles d’urgence-réanimation.</w:t>
            </w:r>
          </w:p>
        </w:tc>
      </w:tr>
    </w:tbl>
    <w:p w14:paraId="3536F8B2" w14:textId="77777777" w:rsidR="00BA66E9" w:rsidRPr="000E3314" w:rsidRDefault="00BA66E9">
      <w:pPr>
        <w:spacing w:after="80" w:line="276" w:lineRule="auto"/>
        <w:rPr>
          <w:rFonts w:asciiTheme="minorHAnsi" w:hAnsiTheme="minorHAnsi" w:cstheme="minorHAnsi"/>
        </w:rPr>
      </w:pPr>
    </w:p>
    <w:p w14:paraId="18EF81BC" w14:textId="51E6A92B" w:rsidR="00BA66E9" w:rsidRPr="000E3314" w:rsidRDefault="000E3314">
      <w:pPr>
        <w:pStyle w:val="Titre2"/>
        <w:rPr>
          <w:rFonts w:asciiTheme="minorHAnsi" w:hAnsiTheme="minorHAnsi" w:cstheme="minorHAnsi"/>
        </w:rPr>
      </w:pPr>
      <w:bookmarkStart w:id="4" w:name="_Toc232422996"/>
      <w:r>
        <w:rPr>
          <w:rFonts w:asciiTheme="minorHAnsi" w:hAnsiTheme="minorHAnsi" w:cstheme="minorHAnsi"/>
        </w:rPr>
        <w:t>4</w:t>
      </w:r>
      <w:r w:rsidR="005135E2" w:rsidRPr="000E3314">
        <w:rPr>
          <w:rFonts w:asciiTheme="minorHAnsi" w:hAnsiTheme="minorHAnsi" w:cstheme="minorHAnsi"/>
        </w:rPr>
        <w:t>.1. Phase 1 – Essais en laboratoire (PTA Rangueil, 10 jours ouvrés)</w:t>
      </w:r>
      <w:bookmarkEnd w:id="4"/>
    </w:p>
    <w:p w14:paraId="3750BE32" w14:textId="77777777" w:rsidR="00BA66E9" w:rsidRPr="000E3314" w:rsidRDefault="005135E2" w:rsidP="000E3314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</w:rPr>
        <w:t>L’analyseur est installé sur le Plateau Technique Automatisé (PTA) de Rangueil. Sont réalisés :</w:t>
      </w:r>
    </w:p>
    <w:p w14:paraId="2F9D6725" w14:textId="77777777" w:rsidR="00BA66E9" w:rsidRPr="000E3314" w:rsidRDefault="005135E2" w:rsidP="000E3314">
      <w:pPr>
        <w:pStyle w:val="Paragraphedeliste"/>
        <w:numPr>
          <w:ilvl w:val="0"/>
          <w:numId w:val="2"/>
        </w:numPr>
        <w:spacing w:after="60" w:line="264" w:lineRule="auto"/>
        <w:jc w:val="both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</w:rPr>
        <w:t xml:space="preserve">la </w:t>
      </w:r>
      <w:r w:rsidRPr="000E3314">
        <w:rPr>
          <w:rFonts w:asciiTheme="minorHAnsi" w:hAnsiTheme="minorHAnsi" w:cstheme="minorHAnsi"/>
          <w:b/>
          <w:bCs/>
        </w:rPr>
        <w:t>vérification des performances analytiques</w:t>
      </w:r>
      <w:r w:rsidRPr="000E3314">
        <w:rPr>
          <w:rFonts w:asciiTheme="minorHAnsi" w:hAnsiTheme="minorHAnsi" w:cstheme="minorHAnsi"/>
        </w:rPr>
        <w:t xml:space="preserve"> :</w:t>
      </w:r>
    </w:p>
    <w:p w14:paraId="448ACE42" w14:textId="1662532D" w:rsidR="00BA66E9" w:rsidRPr="000E3314" w:rsidRDefault="005135E2" w:rsidP="000E3314">
      <w:pPr>
        <w:pStyle w:val="Paragraphedeliste"/>
        <w:numPr>
          <w:ilvl w:val="1"/>
          <w:numId w:val="2"/>
        </w:numPr>
        <w:spacing w:after="60" w:line="264" w:lineRule="auto"/>
        <w:jc w:val="both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</w:rPr>
        <w:t xml:space="preserve">répétabilité : </w:t>
      </w:r>
      <w:r w:rsidR="005D0D3F" w:rsidRPr="00904403">
        <w:rPr>
          <w:rFonts w:asciiTheme="minorHAnsi" w:hAnsiTheme="minorHAnsi" w:cstheme="minorHAnsi"/>
        </w:rPr>
        <w:t>pour tous les paramètres mesurés, a minima 21 mesures par paramètre (autant que possible entre 2 calibrations),</w:t>
      </w:r>
      <w:r w:rsidR="005D0D3F">
        <w:rPr>
          <w:rFonts w:asciiTheme="minorHAnsi" w:hAnsiTheme="minorHAnsi" w:cstheme="minorHAnsi"/>
        </w:rPr>
        <w:t xml:space="preserve"> </w:t>
      </w:r>
      <w:r w:rsidRPr="000E3314">
        <w:rPr>
          <w:rFonts w:asciiTheme="minorHAnsi" w:hAnsiTheme="minorHAnsi" w:cstheme="minorHAnsi"/>
        </w:rPr>
        <w:t>sur au moins 2 niveaux de CIQ ;</w:t>
      </w:r>
    </w:p>
    <w:p w14:paraId="1C178F53" w14:textId="77777777" w:rsidR="00BA66E9" w:rsidRPr="000E3314" w:rsidRDefault="005135E2" w:rsidP="000E3314">
      <w:pPr>
        <w:pStyle w:val="Paragraphedeliste"/>
        <w:numPr>
          <w:ilvl w:val="1"/>
          <w:numId w:val="2"/>
        </w:numPr>
        <w:spacing w:after="60" w:line="264" w:lineRule="auto"/>
        <w:jc w:val="both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</w:rPr>
        <w:t>fidélité intermédiaire (reproductibilité) : n ≥ 30 par niveau de CIQ embarqué ;</w:t>
      </w:r>
    </w:p>
    <w:p w14:paraId="4EE2125B" w14:textId="77777777" w:rsidR="00BA66E9" w:rsidRPr="000E3314" w:rsidRDefault="005135E2" w:rsidP="000E3314">
      <w:pPr>
        <w:pStyle w:val="Paragraphedeliste"/>
        <w:numPr>
          <w:ilvl w:val="1"/>
          <w:numId w:val="2"/>
        </w:numPr>
        <w:spacing w:after="60" w:line="264" w:lineRule="auto"/>
        <w:jc w:val="both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</w:rPr>
        <w:t>comparaison de méthode avec l’automate de référence du site à partir d’échantillons reçus au laboratoire (n = 30 échantillons) ;</w:t>
      </w:r>
    </w:p>
    <w:p w14:paraId="51E71788" w14:textId="77777777" w:rsidR="00BA66E9" w:rsidRPr="000E3314" w:rsidRDefault="005135E2" w:rsidP="000E3314">
      <w:pPr>
        <w:pStyle w:val="Paragraphedeliste"/>
        <w:numPr>
          <w:ilvl w:val="0"/>
          <w:numId w:val="2"/>
        </w:numPr>
        <w:spacing w:after="60" w:line="264" w:lineRule="auto"/>
        <w:jc w:val="both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</w:rPr>
        <w:t>la prise en main quotidienne par les utilisateurs et le pilotage par le middleware ;</w:t>
      </w:r>
    </w:p>
    <w:p w14:paraId="297E9A85" w14:textId="77777777" w:rsidR="00BA66E9" w:rsidRPr="000E3314" w:rsidRDefault="005135E2" w:rsidP="000E3314">
      <w:pPr>
        <w:pStyle w:val="Paragraphedeliste"/>
        <w:numPr>
          <w:ilvl w:val="0"/>
          <w:numId w:val="2"/>
        </w:numPr>
        <w:spacing w:after="60" w:line="264" w:lineRule="auto"/>
        <w:jc w:val="both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</w:rPr>
        <w:t>la validation des CIQ et le passage d’environ 200 échantillons ;</w:t>
      </w:r>
    </w:p>
    <w:p w14:paraId="78FA992F" w14:textId="77777777" w:rsidR="00BA66E9" w:rsidRPr="000E3314" w:rsidRDefault="005135E2" w:rsidP="000E3314">
      <w:pPr>
        <w:pStyle w:val="Paragraphedeliste"/>
        <w:numPr>
          <w:ilvl w:val="0"/>
          <w:numId w:val="2"/>
        </w:numPr>
        <w:spacing w:after="60" w:line="264" w:lineRule="auto"/>
        <w:jc w:val="both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</w:rPr>
        <w:t>le changement des packs de réactifs et de contrôles ;</w:t>
      </w:r>
    </w:p>
    <w:p w14:paraId="40D39B1B" w14:textId="77777777" w:rsidR="00BA66E9" w:rsidRPr="000E3314" w:rsidRDefault="005135E2" w:rsidP="000E3314">
      <w:pPr>
        <w:pStyle w:val="Paragraphedeliste"/>
        <w:numPr>
          <w:ilvl w:val="0"/>
          <w:numId w:val="2"/>
        </w:numPr>
        <w:spacing w:after="60" w:line="264" w:lineRule="auto"/>
        <w:jc w:val="both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</w:rPr>
        <w:t>la réalisation des maintenances utilisateurs et des sauvegardes.</w:t>
      </w:r>
    </w:p>
    <w:p w14:paraId="10F23E8B" w14:textId="342FD412" w:rsidR="00BA66E9" w:rsidRPr="000E3314" w:rsidRDefault="005135E2" w:rsidP="000E3314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  <w:b/>
          <w:bCs/>
        </w:rPr>
        <w:t>La méthodologie de vérification analytique s’appuie sur les recommandations en vigueur (CLSI, SH GTA 04 du Cofrac) et confronte les résultats aux objectifs analytiques des sociétés savantes.</w:t>
      </w:r>
    </w:p>
    <w:p w14:paraId="385604E8" w14:textId="7DC0B4EF" w:rsidR="00BA66E9" w:rsidRPr="000E3314" w:rsidRDefault="000E3314" w:rsidP="000E3314">
      <w:pPr>
        <w:pStyle w:val="Titre2"/>
        <w:jc w:val="both"/>
        <w:rPr>
          <w:rFonts w:asciiTheme="minorHAnsi" w:hAnsiTheme="minorHAnsi" w:cstheme="minorHAnsi"/>
        </w:rPr>
      </w:pPr>
      <w:bookmarkStart w:id="5" w:name="_Toc232422997"/>
      <w:r>
        <w:rPr>
          <w:rFonts w:asciiTheme="minorHAnsi" w:hAnsiTheme="minorHAnsi" w:cstheme="minorHAnsi"/>
        </w:rPr>
        <w:t>4</w:t>
      </w:r>
      <w:r w:rsidR="005135E2" w:rsidRPr="000E3314">
        <w:rPr>
          <w:rFonts w:asciiTheme="minorHAnsi" w:hAnsiTheme="minorHAnsi" w:cstheme="minorHAnsi"/>
        </w:rPr>
        <w:t>.2. Phase 2 – Essais en services de soins (EBMD)</w:t>
      </w:r>
      <w:bookmarkEnd w:id="5"/>
    </w:p>
    <w:p w14:paraId="57070AC7" w14:textId="2F1D3639" w:rsidR="00BA66E9" w:rsidRPr="000E3314" w:rsidRDefault="000E3314" w:rsidP="000E3314">
      <w:pPr>
        <w:spacing w:after="12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En parallèle, un </w:t>
      </w:r>
      <w:r w:rsidR="005135E2" w:rsidRPr="000E3314">
        <w:rPr>
          <w:rFonts w:asciiTheme="minorHAnsi" w:hAnsiTheme="minorHAnsi" w:cstheme="minorHAnsi"/>
        </w:rPr>
        <w:t xml:space="preserve">analyseur est </w:t>
      </w:r>
      <w:r>
        <w:rPr>
          <w:rFonts w:asciiTheme="minorHAnsi" w:hAnsiTheme="minorHAnsi" w:cstheme="minorHAnsi"/>
        </w:rPr>
        <w:t>placé</w:t>
      </w:r>
      <w:r w:rsidR="005135E2" w:rsidRPr="000E3314">
        <w:rPr>
          <w:rFonts w:asciiTheme="minorHAnsi" w:hAnsiTheme="minorHAnsi" w:cstheme="minorHAnsi"/>
        </w:rPr>
        <w:t xml:space="preserve"> en service de soins pour évaluation en conditions réelles d’usage par le personnel soignant : </w:t>
      </w:r>
      <w:r w:rsidR="005135E2" w:rsidRPr="000E3314">
        <w:rPr>
          <w:rFonts w:asciiTheme="minorHAnsi" w:hAnsiTheme="minorHAnsi" w:cstheme="minorHAnsi"/>
          <w:b/>
          <w:bCs/>
        </w:rPr>
        <w:t xml:space="preserve">une semaine à </w:t>
      </w:r>
      <w:r w:rsidR="005135E2" w:rsidRPr="00904403">
        <w:rPr>
          <w:rFonts w:asciiTheme="minorHAnsi" w:hAnsiTheme="minorHAnsi" w:cstheme="minorHAnsi"/>
          <w:b/>
          <w:bCs/>
        </w:rPr>
        <w:t>l’Hôpital</w:t>
      </w:r>
      <w:r w:rsidR="00E847F1" w:rsidRPr="00904403">
        <w:rPr>
          <w:rFonts w:asciiTheme="minorHAnsi" w:hAnsiTheme="minorHAnsi" w:cstheme="minorHAnsi"/>
          <w:b/>
          <w:bCs/>
        </w:rPr>
        <w:t xml:space="preserve"> Paule de Viguier (PDV)</w:t>
      </w:r>
      <w:r w:rsidR="005135E2" w:rsidRPr="00904403">
        <w:rPr>
          <w:rFonts w:asciiTheme="minorHAnsi" w:hAnsiTheme="minorHAnsi" w:cstheme="minorHAnsi"/>
          <w:b/>
          <w:bCs/>
        </w:rPr>
        <w:t xml:space="preserve"> puis</w:t>
      </w:r>
      <w:r w:rsidR="005135E2" w:rsidRPr="000E3314">
        <w:rPr>
          <w:rFonts w:asciiTheme="minorHAnsi" w:hAnsiTheme="minorHAnsi" w:cstheme="minorHAnsi"/>
          <w:b/>
          <w:bCs/>
        </w:rPr>
        <w:t xml:space="preserve"> une semaine à l’Urgence-Réanimation Médecine (URM) de Purpan.</w:t>
      </w:r>
      <w:r w:rsidR="005135E2" w:rsidRPr="000E3314">
        <w:rPr>
          <w:rFonts w:asciiTheme="minorHAnsi" w:hAnsiTheme="minorHAnsi" w:cstheme="minorHAnsi"/>
        </w:rPr>
        <w:t xml:space="preserve"> Sont réalisés :</w:t>
      </w:r>
    </w:p>
    <w:p w14:paraId="44354D9C" w14:textId="77777777" w:rsidR="00BA66E9" w:rsidRPr="000E3314" w:rsidRDefault="005135E2" w:rsidP="000E3314">
      <w:pPr>
        <w:pStyle w:val="Paragraphedeliste"/>
        <w:numPr>
          <w:ilvl w:val="0"/>
          <w:numId w:val="2"/>
        </w:numPr>
        <w:spacing w:after="60" w:line="264" w:lineRule="auto"/>
        <w:jc w:val="both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</w:rPr>
        <w:t>la prise en main quotidienne par les soignants / logisticiens du service ;</w:t>
      </w:r>
    </w:p>
    <w:p w14:paraId="4BEF20EE" w14:textId="77777777" w:rsidR="00BA66E9" w:rsidRPr="000E3314" w:rsidRDefault="005135E2" w:rsidP="000E3314">
      <w:pPr>
        <w:pStyle w:val="Paragraphedeliste"/>
        <w:numPr>
          <w:ilvl w:val="0"/>
          <w:numId w:val="2"/>
        </w:numPr>
        <w:spacing w:after="60" w:line="264" w:lineRule="auto"/>
        <w:jc w:val="both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</w:rPr>
        <w:t>le passage d’environ 100 échantillons ;</w:t>
      </w:r>
    </w:p>
    <w:p w14:paraId="2FCF1A56" w14:textId="77777777" w:rsidR="00BA66E9" w:rsidRPr="000E3314" w:rsidRDefault="005135E2" w:rsidP="000E3314">
      <w:pPr>
        <w:pStyle w:val="Paragraphedeliste"/>
        <w:numPr>
          <w:ilvl w:val="0"/>
          <w:numId w:val="2"/>
        </w:numPr>
        <w:spacing w:after="60" w:line="264" w:lineRule="auto"/>
        <w:jc w:val="both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</w:rPr>
        <w:t>le changement des packs réactifs et la réalisation des maintenances utilisateurs.</w:t>
      </w:r>
    </w:p>
    <w:p w14:paraId="373220D8" w14:textId="05F03717" w:rsidR="00BA66E9" w:rsidRPr="000E3314" w:rsidRDefault="000E3314">
      <w:pPr>
        <w:pStyle w:val="Titre2"/>
        <w:rPr>
          <w:rFonts w:asciiTheme="minorHAnsi" w:hAnsiTheme="minorHAnsi" w:cstheme="minorHAnsi"/>
        </w:rPr>
      </w:pPr>
      <w:bookmarkStart w:id="6" w:name="_Toc232422998"/>
      <w:r>
        <w:rPr>
          <w:rFonts w:asciiTheme="minorHAnsi" w:hAnsiTheme="minorHAnsi" w:cstheme="minorHAnsi"/>
        </w:rPr>
        <w:t>4</w:t>
      </w:r>
      <w:r w:rsidR="005135E2" w:rsidRPr="000E3314">
        <w:rPr>
          <w:rFonts w:asciiTheme="minorHAnsi" w:hAnsiTheme="minorHAnsi" w:cstheme="minorHAnsi"/>
        </w:rPr>
        <w:t>.3. Démonstration du middleware</w:t>
      </w:r>
      <w:bookmarkEnd w:id="6"/>
    </w:p>
    <w:p w14:paraId="1922E2E0" w14:textId="50112208" w:rsidR="00BA66E9" w:rsidRDefault="005135E2" w:rsidP="000E3314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</w:rPr>
        <w:lastRenderedPageBreak/>
        <w:t>En complément des phases sur site, le candidat réalise une démonstration de sa solution middleware portant notamment sur : le pilotage et le paramétrage à distance des analyseurs ; la gestion des opérateurs, des profils et des habilitations ; le suivi des CIQ et des performances pour les gazomètres comme pour les analyseurs tiers ; les règles d’émission vers le SIL Molis (identito-vigilance, correction démographique, retransmission des résultats corrigés en température) ; et les rapports et exports disponibles.</w:t>
      </w:r>
    </w:p>
    <w:p w14:paraId="3C535E34" w14:textId="455B9C4D" w:rsidR="00F67323" w:rsidRDefault="00F67323" w:rsidP="000E3314">
      <w:pPr>
        <w:spacing w:after="120" w:line="276" w:lineRule="auto"/>
        <w:jc w:val="both"/>
        <w:rPr>
          <w:rFonts w:asciiTheme="minorHAnsi" w:hAnsiTheme="minorHAnsi" w:cstheme="minorHAnsi"/>
        </w:rPr>
      </w:pPr>
    </w:p>
    <w:p w14:paraId="6687FD3A" w14:textId="77777777" w:rsidR="00F67323" w:rsidRPr="000E3314" w:rsidRDefault="00F67323" w:rsidP="000E3314">
      <w:pPr>
        <w:spacing w:after="120" w:line="276" w:lineRule="auto"/>
        <w:jc w:val="both"/>
        <w:rPr>
          <w:rFonts w:asciiTheme="minorHAnsi" w:hAnsiTheme="minorHAnsi" w:cstheme="minorHAnsi"/>
        </w:rPr>
      </w:pPr>
    </w:p>
    <w:p w14:paraId="6A666E22" w14:textId="605F8151" w:rsidR="00BA66E9" w:rsidRPr="000E3314" w:rsidRDefault="000E3314">
      <w:pPr>
        <w:pStyle w:val="Titre1"/>
        <w:rPr>
          <w:rFonts w:asciiTheme="minorHAnsi" w:hAnsiTheme="minorHAnsi" w:cstheme="minorHAnsi"/>
        </w:rPr>
      </w:pPr>
      <w:bookmarkStart w:id="7" w:name="_Toc232422999"/>
      <w:r>
        <w:rPr>
          <w:rFonts w:asciiTheme="minorHAnsi" w:hAnsiTheme="minorHAnsi" w:cstheme="minorHAnsi"/>
        </w:rPr>
        <w:t>5</w:t>
      </w:r>
      <w:r w:rsidR="005135E2" w:rsidRPr="000E3314">
        <w:rPr>
          <w:rFonts w:asciiTheme="minorHAnsi" w:hAnsiTheme="minorHAnsi" w:cstheme="minorHAnsi"/>
        </w:rPr>
        <w:t>. Modalités d’évaluation</w:t>
      </w:r>
      <w:bookmarkEnd w:id="7"/>
    </w:p>
    <w:p w14:paraId="37AC82C3" w14:textId="3D5D6278" w:rsidR="004B2935" w:rsidRPr="000E3314" w:rsidRDefault="005135E2">
      <w:pPr>
        <w:spacing w:after="120" w:line="276" w:lineRule="auto"/>
        <w:rPr>
          <w:rFonts w:asciiTheme="minorHAnsi" w:hAnsiTheme="minorHAnsi" w:cstheme="minorHAnsi"/>
        </w:rPr>
      </w:pPr>
      <w:r w:rsidRPr="000E3314">
        <w:rPr>
          <w:rFonts w:asciiTheme="minorHAnsi" w:hAnsiTheme="minorHAnsi" w:cstheme="minorHAnsi"/>
        </w:rPr>
        <w:t>L’évaluation associe une appréciation objective des performances et un retour d’expérience structuré des utilisateurs. Chaque service participant note l’analyseu</w:t>
      </w:r>
      <w:r w:rsidR="004B2935">
        <w:rPr>
          <w:rFonts w:asciiTheme="minorHAnsi" w:hAnsiTheme="minorHAnsi" w:cstheme="minorHAnsi"/>
        </w:rPr>
        <w:t>r. (voir fiches d’évaluations)</w:t>
      </w:r>
    </w:p>
    <w:p w14:paraId="6B89F4A8" w14:textId="77777777" w:rsidR="00BA66E9" w:rsidRPr="00904403" w:rsidRDefault="00BA66E9">
      <w:pPr>
        <w:spacing w:after="80" w:line="276" w:lineRule="auto"/>
        <w:rPr>
          <w:rFonts w:asciiTheme="minorHAnsi" w:hAnsiTheme="minorHAnsi" w:cstheme="minorHAnsi"/>
        </w:rPr>
      </w:pPr>
    </w:p>
    <w:p w14:paraId="267BD249" w14:textId="2FD425EA" w:rsidR="00BA66E9" w:rsidRPr="00904403" w:rsidRDefault="005135E2" w:rsidP="000E3314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904403">
        <w:rPr>
          <w:rFonts w:asciiTheme="minorHAnsi" w:hAnsiTheme="minorHAnsi" w:cstheme="minorHAnsi"/>
        </w:rPr>
        <w:t>Les notes attribuées par les différents évaluateurs et services sont consolidées</w:t>
      </w:r>
      <w:r w:rsidR="000E3314" w:rsidRPr="00904403">
        <w:rPr>
          <w:rFonts w:asciiTheme="minorHAnsi" w:hAnsiTheme="minorHAnsi" w:cstheme="minorHAnsi"/>
        </w:rPr>
        <w:t xml:space="preserve">. </w:t>
      </w:r>
      <w:r w:rsidRPr="00904403">
        <w:rPr>
          <w:rFonts w:asciiTheme="minorHAnsi" w:hAnsiTheme="minorHAnsi" w:cstheme="minorHAnsi"/>
        </w:rPr>
        <w:t>Les résultats des performances analytiques sont confrontés aux données fournisseur et aux objectifs des sociétés savantes, et comparés aux performances des dispositifs déjà en place.</w:t>
      </w:r>
    </w:p>
    <w:p w14:paraId="773EFABB" w14:textId="5F469BF8" w:rsidR="00BA66E9" w:rsidRPr="00904403" w:rsidRDefault="000E3314">
      <w:pPr>
        <w:pStyle w:val="Titre1"/>
        <w:rPr>
          <w:rFonts w:asciiTheme="minorHAnsi" w:hAnsiTheme="minorHAnsi" w:cstheme="minorHAnsi"/>
        </w:rPr>
      </w:pPr>
      <w:bookmarkStart w:id="8" w:name="_Toc232423000"/>
      <w:r w:rsidRPr="00904403">
        <w:rPr>
          <w:rFonts w:asciiTheme="minorHAnsi" w:hAnsiTheme="minorHAnsi" w:cstheme="minorHAnsi"/>
        </w:rPr>
        <w:t>6</w:t>
      </w:r>
      <w:r w:rsidR="005135E2" w:rsidRPr="00904403">
        <w:rPr>
          <w:rFonts w:asciiTheme="minorHAnsi" w:hAnsiTheme="minorHAnsi" w:cstheme="minorHAnsi"/>
        </w:rPr>
        <w:t>. Critères d’appréciation</w:t>
      </w:r>
      <w:bookmarkEnd w:id="8"/>
      <w:r w:rsidR="000F7967" w:rsidRPr="00904403">
        <w:rPr>
          <w:rFonts w:asciiTheme="minorHAnsi" w:hAnsiTheme="minorHAnsi" w:cstheme="minorHAnsi"/>
        </w:rPr>
        <w:t xml:space="preserve"> des gazomètres</w:t>
      </w:r>
    </w:p>
    <w:p w14:paraId="0779AB51" w14:textId="558DA3D4" w:rsidR="000E3314" w:rsidRDefault="004B293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Voir fiches d’évaluations</w:t>
      </w:r>
    </w:p>
    <w:p w14:paraId="1C161F1F" w14:textId="77777777" w:rsidR="00BA66E9" w:rsidRPr="000E3314" w:rsidRDefault="00BA66E9" w:rsidP="000E3314">
      <w:pPr>
        <w:pStyle w:val="Paragraphedeliste"/>
        <w:spacing w:after="60" w:line="264" w:lineRule="auto"/>
        <w:ind w:left="460"/>
        <w:rPr>
          <w:rFonts w:asciiTheme="minorHAnsi" w:hAnsiTheme="minorHAnsi" w:cstheme="minorHAnsi"/>
        </w:rPr>
      </w:pPr>
    </w:p>
    <w:p w14:paraId="1552BB03" w14:textId="3408B79F" w:rsidR="00BA66E9" w:rsidRDefault="000E3314">
      <w:pPr>
        <w:pStyle w:val="Titre1"/>
        <w:rPr>
          <w:rFonts w:asciiTheme="minorHAnsi" w:hAnsiTheme="minorHAnsi" w:cstheme="minorHAnsi"/>
        </w:rPr>
      </w:pPr>
      <w:bookmarkStart w:id="9" w:name="_Toc232423001"/>
      <w:r>
        <w:rPr>
          <w:rFonts w:asciiTheme="minorHAnsi" w:hAnsiTheme="minorHAnsi" w:cstheme="minorHAnsi"/>
        </w:rPr>
        <w:t>7</w:t>
      </w:r>
      <w:r w:rsidR="005135E2" w:rsidRPr="000E3314">
        <w:rPr>
          <w:rFonts w:asciiTheme="minorHAnsi" w:hAnsiTheme="minorHAnsi" w:cstheme="minorHAnsi"/>
        </w:rPr>
        <w:t xml:space="preserve">. </w:t>
      </w:r>
      <w:bookmarkEnd w:id="9"/>
      <w:r w:rsidR="000F7967">
        <w:rPr>
          <w:rFonts w:asciiTheme="minorHAnsi" w:hAnsiTheme="minorHAnsi" w:cstheme="minorHAnsi"/>
        </w:rPr>
        <w:t xml:space="preserve">Critère d’appréciation </w:t>
      </w:r>
      <w:r w:rsidR="000F7967" w:rsidRPr="00904403">
        <w:rPr>
          <w:rFonts w:asciiTheme="minorHAnsi" w:hAnsiTheme="minorHAnsi" w:cstheme="minorHAnsi"/>
        </w:rPr>
        <w:t>du middleware</w:t>
      </w:r>
    </w:p>
    <w:p w14:paraId="4D7913B2" w14:textId="1805EE0A" w:rsidR="004B2935" w:rsidRPr="00904403" w:rsidRDefault="004B2935" w:rsidP="004B2935">
      <w:r>
        <w:t>Voir fiches d’évaluations</w:t>
      </w:r>
    </w:p>
    <w:p w14:paraId="5FC8DFFE" w14:textId="7F122016" w:rsidR="00BA66E9" w:rsidRPr="000E3314" w:rsidRDefault="00BA66E9" w:rsidP="00DD6446">
      <w:pPr>
        <w:spacing w:after="120" w:line="276" w:lineRule="auto"/>
        <w:jc w:val="both"/>
        <w:rPr>
          <w:rFonts w:asciiTheme="minorHAnsi" w:hAnsiTheme="minorHAnsi" w:cstheme="minorHAnsi"/>
        </w:rPr>
      </w:pPr>
    </w:p>
    <w:sectPr w:rsidR="00BA66E9" w:rsidRPr="000E3314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AEA50" w14:textId="77777777" w:rsidR="005135E2" w:rsidRDefault="005135E2">
      <w:r>
        <w:separator/>
      </w:r>
    </w:p>
  </w:endnote>
  <w:endnote w:type="continuationSeparator" w:id="0">
    <w:p w14:paraId="1B82B1BC" w14:textId="77777777" w:rsidR="005135E2" w:rsidRDefault="00513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1C13C" w14:textId="4CF4B673" w:rsidR="00BA66E9" w:rsidRDefault="005135E2">
    <w:pPr>
      <w:pBdr>
        <w:top w:val="single" w:sz="6" w:space="4" w:color="1F4E79"/>
      </w:pBdr>
      <w:jc w:val="center"/>
    </w:pPr>
    <w:r>
      <w:rPr>
        <w:color w:val="808080"/>
        <w:sz w:val="16"/>
        <w:szCs w:val="16"/>
      </w:rPr>
      <w:t xml:space="preserve">Annexe 7 – Protocole d’essai et d’évaluation    |    Page </w:t>
    </w:r>
    <w:r>
      <w:rPr>
        <w:color w:val="808080"/>
        <w:sz w:val="16"/>
        <w:szCs w:val="16"/>
      </w:rPr>
      <w:fldChar w:fldCharType="begin"/>
    </w:r>
    <w:r>
      <w:rPr>
        <w:color w:val="808080"/>
        <w:sz w:val="16"/>
        <w:szCs w:val="16"/>
      </w:rPr>
      <w:instrText>PAGE</w:instrText>
    </w:r>
    <w:r>
      <w:rPr>
        <w:color w:val="808080"/>
        <w:sz w:val="16"/>
        <w:szCs w:val="16"/>
      </w:rPr>
      <w:fldChar w:fldCharType="separate"/>
    </w:r>
    <w:r w:rsidR="00F67323">
      <w:rPr>
        <w:noProof/>
        <w:color w:val="808080"/>
        <w:sz w:val="16"/>
        <w:szCs w:val="16"/>
      </w:rPr>
      <w:t>1</w:t>
    </w:r>
    <w:r>
      <w:rPr>
        <w:color w:val="808080"/>
        <w:sz w:val="16"/>
        <w:szCs w:val="16"/>
      </w:rPr>
      <w:fldChar w:fldCharType="end"/>
    </w:r>
    <w:r>
      <w:rPr>
        <w:color w:val="808080"/>
        <w:sz w:val="16"/>
        <w:szCs w:val="16"/>
      </w:rPr>
      <w:t xml:space="preserve"> / </w:t>
    </w:r>
    <w:r>
      <w:rPr>
        <w:color w:val="808080"/>
        <w:sz w:val="16"/>
        <w:szCs w:val="16"/>
      </w:rPr>
      <w:fldChar w:fldCharType="begin"/>
    </w:r>
    <w:r>
      <w:rPr>
        <w:color w:val="808080"/>
        <w:sz w:val="16"/>
        <w:szCs w:val="16"/>
      </w:rPr>
      <w:instrText>NUMPAGES</w:instrText>
    </w:r>
    <w:r>
      <w:rPr>
        <w:color w:val="808080"/>
        <w:sz w:val="16"/>
        <w:szCs w:val="16"/>
      </w:rPr>
      <w:fldChar w:fldCharType="separate"/>
    </w:r>
    <w:r w:rsidR="00F67323">
      <w:rPr>
        <w:noProof/>
        <w:color w:val="808080"/>
        <w:sz w:val="16"/>
        <w:szCs w:val="16"/>
      </w:rPr>
      <w:t>5</w:t>
    </w:r>
    <w:r>
      <w:rPr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0D040" w14:textId="77777777" w:rsidR="005135E2" w:rsidRDefault="005135E2">
      <w:r>
        <w:separator/>
      </w:r>
    </w:p>
  </w:footnote>
  <w:footnote w:type="continuationSeparator" w:id="0">
    <w:p w14:paraId="55847394" w14:textId="77777777" w:rsidR="005135E2" w:rsidRDefault="00513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A2FAE" w14:textId="77777777" w:rsidR="00BA66E9" w:rsidRDefault="005135E2">
    <w:pPr>
      <w:pBdr>
        <w:bottom w:val="single" w:sz="6" w:space="4" w:color="1F4E79"/>
      </w:pBdr>
      <w:jc w:val="right"/>
    </w:pPr>
    <w:r>
      <w:rPr>
        <w:color w:val="808080"/>
        <w:sz w:val="16"/>
        <w:szCs w:val="16"/>
      </w:rPr>
      <w:t>CHU de Toulouse – AO Gazométrie &amp; middleware EBMD (MAD totale 8 ans)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421E9"/>
    <w:multiLevelType w:val="hybridMultilevel"/>
    <w:tmpl w:val="550C02E8"/>
    <w:lvl w:ilvl="0" w:tplc="F0627FB6">
      <w:start w:val="1"/>
      <w:numFmt w:val="decimal"/>
      <w:lvlText w:val="%1."/>
      <w:lvlJc w:val="left"/>
      <w:pPr>
        <w:ind w:left="460" w:hanging="230"/>
      </w:pPr>
    </w:lvl>
    <w:lvl w:ilvl="1" w:tplc="0F28B00A">
      <w:numFmt w:val="decimal"/>
      <w:lvlText w:val=""/>
      <w:lvlJc w:val="left"/>
    </w:lvl>
    <w:lvl w:ilvl="2" w:tplc="21760AE8">
      <w:numFmt w:val="decimal"/>
      <w:lvlText w:val=""/>
      <w:lvlJc w:val="left"/>
    </w:lvl>
    <w:lvl w:ilvl="3" w:tplc="A45E20E6">
      <w:numFmt w:val="decimal"/>
      <w:lvlText w:val=""/>
      <w:lvlJc w:val="left"/>
    </w:lvl>
    <w:lvl w:ilvl="4" w:tplc="95DED572">
      <w:numFmt w:val="decimal"/>
      <w:lvlText w:val=""/>
      <w:lvlJc w:val="left"/>
    </w:lvl>
    <w:lvl w:ilvl="5" w:tplc="1B0040B6">
      <w:numFmt w:val="decimal"/>
      <w:lvlText w:val=""/>
      <w:lvlJc w:val="left"/>
    </w:lvl>
    <w:lvl w:ilvl="6" w:tplc="E246304C">
      <w:numFmt w:val="decimal"/>
      <w:lvlText w:val=""/>
      <w:lvlJc w:val="left"/>
    </w:lvl>
    <w:lvl w:ilvl="7" w:tplc="5BA2A7C8">
      <w:numFmt w:val="decimal"/>
      <w:lvlText w:val=""/>
      <w:lvlJc w:val="left"/>
    </w:lvl>
    <w:lvl w:ilvl="8" w:tplc="0F743440">
      <w:numFmt w:val="decimal"/>
      <w:lvlText w:val=""/>
      <w:lvlJc w:val="left"/>
    </w:lvl>
  </w:abstractNum>
  <w:abstractNum w:abstractNumId="1" w15:restartNumberingAfterBreak="0">
    <w:nsid w:val="272E4B1A"/>
    <w:multiLevelType w:val="hybridMultilevel"/>
    <w:tmpl w:val="E47E770E"/>
    <w:lvl w:ilvl="0" w:tplc="D50A6906">
      <w:start w:val="1"/>
      <w:numFmt w:val="bullet"/>
      <w:lvlText w:val="●"/>
      <w:lvlJc w:val="left"/>
      <w:pPr>
        <w:ind w:left="720" w:hanging="360"/>
      </w:pPr>
    </w:lvl>
    <w:lvl w:ilvl="1" w:tplc="A13637BE">
      <w:start w:val="1"/>
      <w:numFmt w:val="bullet"/>
      <w:lvlText w:val="○"/>
      <w:lvlJc w:val="left"/>
      <w:pPr>
        <w:ind w:left="1440" w:hanging="360"/>
      </w:pPr>
    </w:lvl>
    <w:lvl w:ilvl="2" w:tplc="DD0A8AF4">
      <w:start w:val="1"/>
      <w:numFmt w:val="bullet"/>
      <w:lvlText w:val="■"/>
      <w:lvlJc w:val="left"/>
      <w:pPr>
        <w:ind w:left="2160" w:hanging="360"/>
      </w:pPr>
    </w:lvl>
    <w:lvl w:ilvl="3" w:tplc="2D903892">
      <w:start w:val="1"/>
      <w:numFmt w:val="bullet"/>
      <w:lvlText w:val="●"/>
      <w:lvlJc w:val="left"/>
      <w:pPr>
        <w:ind w:left="2880" w:hanging="360"/>
      </w:pPr>
    </w:lvl>
    <w:lvl w:ilvl="4" w:tplc="898A015A">
      <w:start w:val="1"/>
      <w:numFmt w:val="bullet"/>
      <w:lvlText w:val="○"/>
      <w:lvlJc w:val="left"/>
      <w:pPr>
        <w:ind w:left="3600" w:hanging="360"/>
      </w:pPr>
    </w:lvl>
    <w:lvl w:ilvl="5" w:tplc="48C059F8">
      <w:start w:val="1"/>
      <w:numFmt w:val="bullet"/>
      <w:lvlText w:val="■"/>
      <w:lvlJc w:val="left"/>
      <w:pPr>
        <w:ind w:left="4320" w:hanging="360"/>
      </w:pPr>
    </w:lvl>
    <w:lvl w:ilvl="6" w:tplc="F96EAF7A">
      <w:start w:val="1"/>
      <w:numFmt w:val="bullet"/>
      <w:lvlText w:val="●"/>
      <w:lvlJc w:val="left"/>
      <w:pPr>
        <w:ind w:left="5040" w:hanging="360"/>
      </w:pPr>
    </w:lvl>
    <w:lvl w:ilvl="7" w:tplc="4BFEDBF4">
      <w:start w:val="1"/>
      <w:numFmt w:val="bullet"/>
      <w:lvlText w:val="●"/>
      <w:lvlJc w:val="left"/>
      <w:pPr>
        <w:ind w:left="5760" w:hanging="360"/>
      </w:pPr>
    </w:lvl>
    <w:lvl w:ilvl="8" w:tplc="D2A6E2A8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63C5438A"/>
    <w:multiLevelType w:val="hybridMultilevel"/>
    <w:tmpl w:val="F288129E"/>
    <w:lvl w:ilvl="0" w:tplc="040C0001">
      <w:start w:val="1"/>
      <w:numFmt w:val="bullet"/>
      <w:lvlText w:val=""/>
      <w:lvlJc w:val="left"/>
      <w:pPr>
        <w:ind w:left="460" w:hanging="23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920" w:hanging="230"/>
      </w:pPr>
      <w:rPr>
        <w:rFonts w:ascii="Courier New" w:hAnsi="Courier New" w:cs="Courier New" w:hint="default"/>
      </w:rPr>
    </w:lvl>
    <w:lvl w:ilvl="2" w:tplc="B7D4BBA4">
      <w:numFmt w:val="decimal"/>
      <w:lvlText w:val=""/>
      <w:lvlJc w:val="left"/>
    </w:lvl>
    <w:lvl w:ilvl="3" w:tplc="01709C84">
      <w:numFmt w:val="decimal"/>
      <w:lvlText w:val=""/>
      <w:lvlJc w:val="left"/>
    </w:lvl>
    <w:lvl w:ilvl="4" w:tplc="FD78703E">
      <w:numFmt w:val="decimal"/>
      <w:lvlText w:val=""/>
      <w:lvlJc w:val="left"/>
    </w:lvl>
    <w:lvl w:ilvl="5" w:tplc="895285A0">
      <w:numFmt w:val="decimal"/>
      <w:lvlText w:val=""/>
      <w:lvlJc w:val="left"/>
    </w:lvl>
    <w:lvl w:ilvl="6" w:tplc="C8B426B8">
      <w:numFmt w:val="decimal"/>
      <w:lvlText w:val=""/>
      <w:lvlJc w:val="left"/>
    </w:lvl>
    <w:lvl w:ilvl="7" w:tplc="B96CDEE4">
      <w:numFmt w:val="decimal"/>
      <w:lvlText w:val=""/>
      <w:lvlJc w:val="left"/>
    </w:lvl>
    <w:lvl w:ilvl="8" w:tplc="8D6E3FB2">
      <w:numFmt w:val="decimal"/>
      <w:lvlText w:val=""/>
      <w:lvlJc w:val="left"/>
    </w:lvl>
  </w:abstractNum>
  <w:num w:numId="1" w16cid:durableId="1123691331">
    <w:abstractNumId w:val="1"/>
    <w:lvlOverride w:ilvl="0">
      <w:startOverride w:val="1"/>
    </w:lvlOverride>
  </w:num>
  <w:num w:numId="2" w16cid:durableId="443228232">
    <w:abstractNumId w:val="2"/>
  </w:num>
  <w:num w:numId="3" w16cid:durableId="9906437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6E9"/>
    <w:rsid w:val="000E3314"/>
    <w:rsid w:val="000F7967"/>
    <w:rsid w:val="00161A4C"/>
    <w:rsid w:val="00482627"/>
    <w:rsid w:val="004B2935"/>
    <w:rsid w:val="00501406"/>
    <w:rsid w:val="005135E2"/>
    <w:rsid w:val="005D0D3F"/>
    <w:rsid w:val="0079070E"/>
    <w:rsid w:val="00904403"/>
    <w:rsid w:val="00A53C61"/>
    <w:rsid w:val="00A8032C"/>
    <w:rsid w:val="00AB2144"/>
    <w:rsid w:val="00BA66E9"/>
    <w:rsid w:val="00DD6446"/>
    <w:rsid w:val="00E847F1"/>
    <w:rsid w:val="00F6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B44E8"/>
  <w15:docId w15:val="{07D5A5DF-852C-4983-8694-6F4C786B9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1"/>
        <w:szCs w:val="21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967"/>
  </w:style>
  <w:style w:type="paragraph" w:styleId="Titre1">
    <w:name w:val="heading 1"/>
    <w:uiPriority w:val="9"/>
    <w:qFormat/>
    <w:pPr>
      <w:spacing w:before="280" w:after="140"/>
      <w:outlineLvl w:val="0"/>
    </w:pPr>
    <w:rPr>
      <w:b/>
      <w:bCs/>
      <w:color w:val="1F4E79"/>
      <w:sz w:val="26"/>
      <w:szCs w:val="26"/>
    </w:rPr>
  </w:style>
  <w:style w:type="paragraph" w:styleId="Titre2">
    <w:name w:val="heading 2"/>
    <w:uiPriority w:val="9"/>
    <w:unhideWhenUsed/>
    <w:qFormat/>
    <w:pPr>
      <w:spacing w:before="200" w:after="100"/>
      <w:outlineLvl w:val="1"/>
    </w:pPr>
    <w:rPr>
      <w:b/>
      <w:bCs/>
      <w:color w:val="1F4E79"/>
      <w:sz w:val="23"/>
      <w:szCs w:val="23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  <w:rPr>
      <w:sz w:val="20"/>
      <w:szCs w:val="20"/>
    </w:rPr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  <w:style w:type="paragraph" w:styleId="TM1">
    <w:name w:val="toc 1"/>
    <w:basedOn w:val="Normal"/>
    <w:next w:val="Normal"/>
    <w:autoRedefine/>
    <w:uiPriority w:val="39"/>
    <w:unhideWhenUsed/>
    <w:rsid w:val="000E3314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0E3314"/>
    <w:pPr>
      <w:spacing w:after="100"/>
      <w:ind w:left="2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D8BCDD9892D3438A98B702BD1F8162" ma:contentTypeVersion="1" ma:contentTypeDescription="Crée un document." ma:contentTypeScope="" ma:versionID="d1cdc92516f565b5624fc0d54e7229f5">
  <xsd:schema xmlns:xsd="http://www.w3.org/2001/XMLSchema" xmlns:xs="http://www.w3.org/2001/XMLSchema" xmlns:p="http://schemas.microsoft.com/office/2006/metadata/properties" xmlns:ns2="2dfeeb3c-2d72-4012-93f4-d0529e02ee8b" targetNamespace="http://schemas.microsoft.com/office/2006/metadata/properties" ma:root="true" ma:fieldsID="662c352509868ae6fba1cdcf19c4f2e4" ns2:_="">
    <xsd:import namespace="2dfeeb3c-2d72-4012-93f4-d0529e02ee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eeb3c-2d72-4012-93f4-d0529e02ee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7E3585-8037-43F5-A406-9823C8E55DC7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2dfeeb3c-2d72-4012-93f4-d0529e02ee8b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CF91C13-0672-444D-BC11-3595ED363A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CEDB99-36BE-456C-BC9B-48CEE635BB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feeb3c-2d72-4012-93f4-d0529e02ee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898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7 – Protocole d’essai et d’évaluation</vt:lpstr>
    </vt:vector>
  </TitlesOfParts>
  <Company/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7 – Protocole d’essai et d’évaluation</dc:title>
  <dc:creator>CHU de Toulouse – Ingénierie biomédicale</dc:creator>
  <cp:lastModifiedBy>VICTOR Eva</cp:lastModifiedBy>
  <cp:revision>2</cp:revision>
  <dcterms:created xsi:type="dcterms:W3CDTF">2026-06-19T11:36:00Z</dcterms:created>
  <dcterms:modified xsi:type="dcterms:W3CDTF">2026-06-19T11:36:00Z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0x0101005FD8BCDD9892D3438A98B702BD1F8162</vt:lpwstr>
  </property>
</Properties>
</file>